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F3524" w14:textId="44F9C96B" w:rsidR="003F20C9" w:rsidRDefault="003F20C9" w:rsidP="007B5D47">
      <w:pPr>
        <w:pStyle w:val="NoSpacing"/>
        <w:jc w:val="center"/>
        <w:rPr>
          <w:b/>
          <w:sz w:val="28"/>
          <w:szCs w:val="28"/>
        </w:rPr>
      </w:pPr>
      <w:bookmarkStart w:id="0" w:name="_Hlk203051563"/>
      <w:r>
        <w:rPr>
          <w:rFonts w:ascii="Times New Roman" w:hAnsi="Times New Roman" w:cs="Times New Roman"/>
          <w:b/>
          <w:bCs/>
          <w:noProof/>
          <w:sz w:val="22"/>
          <w:szCs w:val="22"/>
        </w:rPr>
        <w:drawing>
          <wp:inline distT="0" distB="0" distL="0" distR="0" wp14:anchorId="1DC6EA31" wp14:editId="10468844">
            <wp:extent cx="2286000" cy="998254"/>
            <wp:effectExtent l="0" t="0" r="0" b="0"/>
            <wp:docPr id="25379842"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79842" name="Picture 2" descr="A blue and white logo&#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1082" b="20655"/>
                    <a:stretch/>
                  </pic:blipFill>
                  <pic:spPr bwMode="auto">
                    <a:xfrm>
                      <a:off x="0" y="0"/>
                      <a:ext cx="2305743" cy="1006875"/>
                    </a:xfrm>
                    <a:prstGeom prst="rect">
                      <a:avLst/>
                    </a:prstGeom>
                    <a:noFill/>
                    <a:ln>
                      <a:noFill/>
                    </a:ln>
                    <a:extLst>
                      <a:ext uri="{53640926-AAD7-44D8-BBD7-CCE9431645EC}">
                        <a14:shadowObscured xmlns:a14="http://schemas.microsoft.com/office/drawing/2010/main"/>
                      </a:ext>
                    </a:extLst>
                  </pic:spPr>
                </pic:pic>
              </a:graphicData>
            </a:graphic>
          </wp:inline>
        </w:drawing>
      </w:r>
    </w:p>
    <w:p w14:paraId="187801DF" w14:textId="77777777" w:rsidR="003F20C9" w:rsidRPr="00BC1752" w:rsidRDefault="003F20C9" w:rsidP="00BC1752"/>
    <w:p w14:paraId="4A179DC0" w14:textId="07C9BA82" w:rsidR="003D0CA2" w:rsidRPr="00BC1752" w:rsidRDefault="003D0CA2" w:rsidP="00BC1752">
      <w:pPr>
        <w:jc w:val="center"/>
        <w:rPr>
          <w:rFonts w:ascii="Calibri" w:hAnsi="Calibri" w:cs="Calibri"/>
          <w:b/>
          <w:bCs/>
          <w:sz w:val="28"/>
          <w:szCs w:val="28"/>
        </w:rPr>
      </w:pPr>
      <w:r w:rsidRPr="00BC1752">
        <w:rPr>
          <w:rFonts w:ascii="Calibri" w:hAnsi="Calibri" w:cs="Calibri"/>
          <w:b/>
          <w:bCs/>
          <w:sz w:val="28"/>
          <w:szCs w:val="28"/>
        </w:rPr>
        <w:t>Explore Gwinnett Awards $100,000 Through Inaugural Placemaking Grant</w:t>
      </w:r>
    </w:p>
    <w:p w14:paraId="1B2D69A3" w14:textId="77777777" w:rsidR="00460EE1" w:rsidRPr="00BC1752" w:rsidRDefault="003F20C9" w:rsidP="00BC1752">
      <w:pPr>
        <w:jc w:val="center"/>
        <w:rPr>
          <w:rFonts w:ascii="Calibri" w:hAnsi="Calibri" w:cs="Calibri"/>
          <w:i/>
          <w:iCs/>
        </w:rPr>
      </w:pPr>
      <w:r w:rsidRPr="00BC1752">
        <w:rPr>
          <w:rFonts w:ascii="Calibri" w:hAnsi="Calibri" w:cs="Calibri"/>
          <w:i/>
          <w:iCs/>
        </w:rPr>
        <w:t>Grants Fuel Creative Enhancements to Public Spaces,</w:t>
      </w:r>
      <w:r w:rsidR="00460EE1" w:rsidRPr="00BC1752">
        <w:rPr>
          <w:rFonts w:ascii="Calibri" w:hAnsi="Calibri" w:cs="Calibri"/>
          <w:i/>
          <w:iCs/>
        </w:rPr>
        <w:t xml:space="preserve"> P</w:t>
      </w:r>
      <w:r w:rsidRPr="00BC1752">
        <w:rPr>
          <w:rFonts w:ascii="Calibri" w:hAnsi="Calibri" w:cs="Calibri"/>
          <w:i/>
          <w:iCs/>
        </w:rPr>
        <w:t>rioritizing Projects</w:t>
      </w:r>
    </w:p>
    <w:p w14:paraId="176D64D7" w14:textId="7026CA57" w:rsidR="00246A32" w:rsidRPr="00BC1752" w:rsidRDefault="001D02D0" w:rsidP="00BC1752">
      <w:pPr>
        <w:jc w:val="center"/>
        <w:rPr>
          <w:rFonts w:ascii="Calibri" w:hAnsi="Calibri" w:cs="Calibri"/>
          <w:i/>
          <w:iCs/>
        </w:rPr>
      </w:pPr>
      <w:r w:rsidRPr="00BC1752">
        <w:rPr>
          <w:rFonts w:ascii="Calibri" w:hAnsi="Calibri" w:cs="Calibri"/>
          <w:i/>
          <w:iCs/>
        </w:rPr>
        <w:t>Transforming Spaces</w:t>
      </w:r>
      <w:r w:rsidR="003F20C9" w:rsidRPr="00BC1752">
        <w:rPr>
          <w:rFonts w:ascii="Calibri" w:hAnsi="Calibri" w:cs="Calibri"/>
          <w:i/>
          <w:iCs/>
        </w:rPr>
        <w:t xml:space="preserve"> in Unincorporated Gwinnett</w:t>
      </w:r>
    </w:p>
    <w:p w14:paraId="3E8BE43D" w14:textId="77777777" w:rsidR="003F20C9" w:rsidRPr="00556810" w:rsidRDefault="003F20C9" w:rsidP="00BC1752">
      <w:pPr>
        <w:rPr>
          <w:b/>
          <w:bCs/>
        </w:rPr>
      </w:pPr>
    </w:p>
    <w:p w14:paraId="62C1A26C" w14:textId="2F372D5F" w:rsidR="00F80D69" w:rsidRPr="00556810" w:rsidRDefault="003D0CA2" w:rsidP="00556810">
      <w:pPr>
        <w:jc w:val="both"/>
        <w:rPr>
          <w:rFonts w:ascii="Calibri" w:hAnsi="Calibri" w:cs="Calibri"/>
          <w:sz w:val="22"/>
          <w:szCs w:val="22"/>
        </w:rPr>
      </w:pPr>
      <w:r w:rsidRPr="00556810">
        <w:rPr>
          <w:rFonts w:ascii="Calibri" w:hAnsi="Calibri" w:cs="Calibri"/>
          <w:b/>
          <w:bCs/>
          <w:sz w:val="22"/>
          <w:szCs w:val="22"/>
        </w:rPr>
        <w:t xml:space="preserve">GWINNETT </w:t>
      </w:r>
      <w:r w:rsidR="00CE57C8" w:rsidRPr="00556810">
        <w:rPr>
          <w:rFonts w:ascii="Calibri" w:hAnsi="Calibri" w:cs="Calibri"/>
          <w:b/>
          <w:bCs/>
          <w:sz w:val="22"/>
          <w:szCs w:val="22"/>
        </w:rPr>
        <w:t>COUNTY, Ga. (</w:t>
      </w:r>
      <w:r w:rsidR="00545C53" w:rsidRPr="00556810">
        <w:rPr>
          <w:rFonts w:ascii="Calibri" w:hAnsi="Calibri" w:cs="Calibri"/>
          <w:b/>
          <w:bCs/>
          <w:sz w:val="22"/>
          <w:szCs w:val="22"/>
        </w:rPr>
        <w:t>July</w:t>
      </w:r>
      <w:r w:rsidR="00CE57C8" w:rsidRPr="00556810">
        <w:rPr>
          <w:rFonts w:ascii="Calibri" w:hAnsi="Calibri" w:cs="Calibri"/>
          <w:b/>
          <w:bCs/>
          <w:sz w:val="22"/>
          <w:szCs w:val="22"/>
        </w:rPr>
        <w:t xml:space="preserve"> </w:t>
      </w:r>
      <w:r w:rsidR="009F1482" w:rsidRPr="00556810">
        <w:rPr>
          <w:rFonts w:ascii="Calibri" w:hAnsi="Calibri" w:cs="Calibri"/>
          <w:b/>
          <w:bCs/>
          <w:sz w:val="22"/>
          <w:szCs w:val="22"/>
        </w:rPr>
        <w:t>2</w:t>
      </w:r>
      <w:r w:rsidR="00556810" w:rsidRPr="00556810">
        <w:rPr>
          <w:rFonts w:ascii="Calibri" w:hAnsi="Calibri" w:cs="Calibri"/>
          <w:b/>
          <w:bCs/>
          <w:sz w:val="22"/>
          <w:szCs w:val="22"/>
        </w:rPr>
        <w:t>4</w:t>
      </w:r>
      <w:r w:rsidR="00CE57C8" w:rsidRPr="00556810">
        <w:rPr>
          <w:rFonts w:ascii="Calibri" w:hAnsi="Calibri" w:cs="Calibri"/>
          <w:b/>
          <w:bCs/>
          <w:sz w:val="22"/>
          <w:szCs w:val="22"/>
        </w:rPr>
        <w:t xml:space="preserve">, 2025) – </w:t>
      </w:r>
      <w:hyperlink r:id="rId6" w:history="1">
        <w:r w:rsidR="00CE57C8" w:rsidRPr="00556810">
          <w:rPr>
            <w:rStyle w:val="Hyperlink"/>
            <w:rFonts w:ascii="Calibri" w:hAnsi="Calibri" w:cs="Calibri"/>
            <w:sz w:val="22"/>
            <w:szCs w:val="22"/>
          </w:rPr>
          <w:t>Explore Gwinnett</w:t>
        </w:r>
      </w:hyperlink>
      <w:r w:rsidR="00CE57C8" w:rsidRPr="00556810">
        <w:rPr>
          <w:rFonts w:ascii="Calibri" w:hAnsi="Calibri" w:cs="Calibri"/>
          <w:sz w:val="22"/>
          <w:szCs w:val="22"/>
        </w:rPr>
        <w:t>, the destination marketing organization for Gwinnett County,</w:t>
      </w:r>
      <w:r w:rsidR="00BC5A23" w:rsidRPr="00556810" w:rsidDel="00BC5A23">
        <w:rPr>
          <w:rFonts w:ascii="Calibri" w:hAnsi="Calibri" w:cs="Calibri"/>
          <w:sz w:val="22"/>
          <w:szCs w:val="22"/>
        </w:rPr>
        <w:t xml:space="preserve"> </w:t>
      </w:r>
      <w:r w:rsidR="00BC5A23" w:rsidRPr="00556810">
        <w:rPr>
          <w:rFonts w:ascii="Calibri" w:hAnsi="Calibri" w:cs="Calibri"/>
          <w:sz w:val="22"/>
          <w:szCs w:val="22"/>
        </w:rPr>
        <w:t>is thrilled to</w:t>
      </w:r>
      <w:r w:rsidR="00CE57C8" w:rsidRPr="00556810">
        <w:rPr>
          <w:rFonts w:ascii="Calibri" w:hAnsi="Calibri" w:cs="Calibri"/>
          <w:sz w:val="22"/>
          <w:szCs w:val="22"/>
        </w:rPr>
        <w:t xml:space="preserve"> announce</w:t>
      </w:r>
      <w:r w:rsidR="00BC5A23" w:rsidRPr="00556810">
        <w:rPr>
          <w:rFonts w:ascii="Calibri" w:hAnsi="Calibri" w:cs="Calibri"/>
          <w:sz w:val="22"/>
          <w:szCs w:val="22"/>
        </w:rPr>
        <w:t xml:space="preserve"> </w:t>
      </w:r>
      <w:r w:rsidR="00CE57C8" w:rsidRPr="00556810">
        <w:rPr>
          <w:rFonts w:ascii="Calibri" w:hAnsi="Calibri" w:cs="Calibri"/>
          <w:sz w:val="22"/>
          <w:szCs w:val="22"/>
        </w:rPr>
        <w:t xml:space="preserve">it has awarded $100,000 </w:t>
      </w:r>
      <w:r w:rsidR="00F80D69" w:rsidRPr="00556810">
        <w:rPr>
          <w:rFonts w:ascii="Calibri" w:hAnsi="Calibri" w:cs="Calibri"/>
          <w:sz w:val="22"/>
          <w:szCs w:val="22"/>
        </w:rPr>
        <w:t xml:space="preserve">in grants </w:t>
      </w:r>
      <w:r w:rsidR="00CE57C8" w:rsidRPr="00556810">
        <w:rPr>
          <w:rFonts w:ascii="Calibri" w:hAnsi="Calibri" w:cs="Calibri"/>
          <w:sz w:val="22"/>
          <w:szCs w:val="22"/>
        </w:rPr>
        <w:t xml:space="preserve">through the Gwinnett Creativity Fund’s (GCF) inaugural Placemaking Grant. </w:t>
      </w:r>
      <w:r w:rsidR="00ED3B7D" w:rsidRPr="00556810">
        <w:rPr>
          <w:rFonts w:ascii="Calibri" w:hAnsi="Calibri" w:cs="Calibri"/>
          <w:sz w:val="22"/>
          <w:szCs w:val="22"/>
        </w:rPr>
        <w:t>By providing financial support for projects that enhance public spaces, the Placemaking Grant</w:t>
      </w:r>
      <w:r w:rsidR="00BC5A23" w:rsidRPr="00556810">
        <w:rPr>
          <w:rFonts w:ascii="Calibri" w:hAnsi="Calibri" w:cs="Calibri"/>
          <w:sz w:val="22"/>
          <w:szCs w:val="22"/>
        </w:rPr>
        <w:t xml:space="preserve"> </w:t>
      </w:r>
      <w:r w:rsidR="00ED3B7D" w:rsidRPr="00556810">
        <w:rPr>
          <w:rFonts w:ascii="Calibri" w:hAnsi="Calibri" w:cs="Calibri"/>
          <w:sz w:val="22"/>
          <w:szCs w:val="22"/>
        </w:rPr>
        <w:t xml:space="preserve">encourages vibrancy and activity while </w:t>
      </w:r>
      <w:r w:rsidR="00CE57C8" w:rsidRPr="00556810">
        <w:rPr>
          <w:rFonts w:ascii="Calibri" w:hAnsi="Calibri" w:cs="Calibri"/>
          <w:sz w:val="22"/>
          <w:szCs w:val="22"/>
        </w:rPr>
        <w:t xml:space="preserve">serving the community’s functional, aesthetic and social needs. </w:t>
      </w:r>
      <w:r w:rsidR="00ED3B7D" w:rsidRPr="00556810">
        <w:rPr>
          <w:rFonts w:ascii="Calibri" w:hAnsi="Calibri" w:cs="Calibri"/>
          <w:sz w:val="22"/>
          <w:szCs w:val="22"/>
        </w:rPr>
        <w:t xml:space="preserve">Funding was awarded to eight placemaking projects, with </w:t>
      </w:r>
      <w:proofErr w:type="gramStart"/>
      <w:r w:rsidR="00ED3B7D" w:rsidRPr="00556810">
        <w:rPr>
          <w:rFonts w:ascii="Calibri" w:hAnsi="Calibri" w:cs="Calibri"/>
          <w:sz w:val="22"/>
          <w:szCs w:val="22"/>
        </w:rPr>
        <w:t>the majority of</w:t>
      </w:r>
      <w:proofErr w:type="gramEnd"/>
      <w:r w:rsidR="00ED3B7D" w:rsidRPr="00556810">
        <w:rPr>
          <w:rFonts w:ascii="Calibri" w:hAnsi="Calibri" w:cs="Calibri"/>
          <w:sz w:val="22"/>
          <w:szCs w:val="22"/>
        </w:rPr>
        <w:t xml:space="preserve"> grants supporting initiatives in unincorporated Gwinnett—expanding access to the arts in historically underserved areas.</w:t>
      </w:r>
    </w:p>
    <w:bookmarkEnd w:id="0"/>
    <w:p w14:paraId="0F84DF6F" w14:textId="77777777" w:rsidR="00F556EE" w:rsidRPr="00556810" w:rsidRDefault="00F556EE" w:rsidP="00556810">
      <w:pPr>
        <w:jc w:val="both"/>
        <w:rPr>
          <w:rFonts w:ascii="Calibri" w:hAnsi="Calibri" w:cs="Calibri"/>
          <w:sz w:val="22"/>
          <w:szCs w:val="22"/>
        </w:rPr>
      </w:pPr>
    </w:p>
    <w:p w14:paraId="055DC06F" w14:textId="15D7B309" w:rsidR="001D02D0" w:rsidRPr="00556810" w:rsidRDefault="001D02D0" w:rsidP="00556810">
      <w:pPr>
        <w:jc w:val="both"/>
        <w:rPr>
          <w:rFonts w:ascii="Calibri" w:hAnsi="Calibri" w:cs="Calibri"/>
          <w:sz w:val="22"/>
          <w:szCs w:val="22"/>
        </w:rPr>
      </w:pPr>
      <w:r w:rsidRPr="00556810">
        <w:rPr>
          <w:rFonts w:ascii="Calibri" w:hAnsi="Calibri" w:cs="Calibri"/>
          <w:sz w:val="22"/>
          <w:szCs w:val="22"/>
        </w:rPr>
        <w:t>“It’s incredibly rewarding to support projects that use creativity to uplift and transform shared spaces,” said Lisa Anders, Explore Gwinnett’s chief operating officer, who leads the Gwinnett Creativity Fund. “Inspired by the words of poet John Dryden, ‘mighty things from small beginnings grow,’ this grant cycle prioritized small to midsize projects, with a focus on areas with limited access to the arts. From murals to decorative crosswalks, these projects help strengthen a sense of place while sparking pride connection and momentum.”</w:t>
      </w:r>
    </w:p>
    <w:p w14:paraId="3B1AB6C0" w14:textId="77777777" w:rsidR="00074C41" w:rsidRPr="00556810" w:rsidRDefault="00074C41" w:rsidP="00556810">
      <w:pPr>
        <w:jc w:val="both"/>
        <w:rPr>
          <w:rFonts w:ascii="Calibri" w:hAnsi="Calibri" w:cs="Calibri"/>
          <w:sz w:val="22"/>
          <w:szCs w:val="22"/>
        </w:rPr>
      </w:pPr>
    </w:p>
    <w:p w14:paraId="534D5850" w14:textId="1CB12A23" w:rsidR="00532BEF" w:rsidRPr="00556810" w:rsidRDefault="00460EE1" w:rsidP="00556810">
      <w:pPr>
        <w:jc w:val="both"/>
        <w:rPr>
          <w:rFonts w:ascii="Calibri" w:hAnsi="Calibri" w:cs="Calibri"/>
          <w:sz w:val="22"/>
          <w:szCs w:val="22"/>
        </w:rPr>
      </w:pPr>
      <w:r w:rsidRPr="00556810">
        <w:rPr>
          <w:rFonts w:ascii="Calibri" w:hAnsi="Calibri" w:cs="Calibri"/>
          <w:sz w:val="22"/>
          <w:szCs w:val="22"/>
        </w:rPr>
        <w:t>Placemaking is the art of revitalizing public spaces in creative, engaging and accessible ways, often integrating art, culture and design to celebrate local history and tradition, foster community connections and transform everyday areas into vibrant, inviting spaces.</w:t>
      </w:r>
    </w:p>
    <w:p w14:paraId="6D9E8DC3" w14:textId="77777777" w:rsidR="00460EE1" w:rsidRPr="00556810" w:rsidRDefault="00460EE1" w:rsidP="00556810">
      <w:pPr>
        <w:jc w:val="both"/>
        <w:rPr>
          <w:rFonts w:ascii="Calibri" w:hAnsi="Calibri" w:cs="Calibri"/>
          <w:sz w:val="22"/>
          <w:szCs w:val="22"/>
        </w:rPr>
      </w:pPr>
    </w:p>
    <w:p w14:paraId="6F4D01A7" w14:textId="77777777" w:rsidR="007D241D" w:rsidRPr="00556810" w:rsidRDefault="007D241D" w:rsidP="00556810">
      <w:pPr>
        <w:jc w:val="both"/>
        <w:rPr>
          <w:rFonts w:ascii="Calibri" w:hAnsi="Calibri" w:cs="Calibri"/>
          <w:b/>
          <w:bCs/>
          <w:sz w:val="22"/>
          <w:szCs w:val="22"/>
        </w:rPr>
      </w:pPr>
      <w:r w:rsidRPr="00556810">
        <w:rPr>
          <w:rFonts w:ascii="Calibri" w:hAnsi="Calibri" w:cs="Calibri"/>
          <w:b/>
          <w:bCs/>
          <w:sz w:val="22"/>
          <w:szCs w:val="22"/>
        </w:rPr>
        <w:t>A total of $64,000 in funding was awarded to projects in unincorporated Gwinnett, including:</w:t>
      </w:r>
    </w:p>
    <w:p w14:paraId="4FA1ECF4" w14:textId="58254DF9" w:rsidR="00074C41" w:rsidRPr="00556810" w:rsidRDefault="00074C41" w:rsidP="00556810">
      <w:pPr>
        <w:pStyle w:val="ListParagraph"/>
        <w:numPr>
          <w:ilvl w:val="0"/>
          <w:numId w:val="4"/>
        </w:numPr>
        <w:jc w:val="both"/>
        <w:rPr>
          <w:rFonts w:ascii="Calibri" w:hAnsi="Calibri" w:cs="Calibri"/>
          <w:sz w:val="22"/>
          <w:szCs w:val="22"/>
        </w:rPr>
      </w:pPr>
      <w:r w:rsidRPr="00556810">
        <w:rPr>
          <w:rFonts w:ascii="Calibri" w:hAnsi="Calibri" w:cs="Calibri"/>
          <w:sz w:val="22"/>
          <w:szCs w:val="22"/>
        </w:rPr>
        <w:t>$30,000 to Art in Motion for a 2,600-square-foot mural at Singleton Park</w:t>
      </w:r>
      <w:r w:rsidR="002050D3" w:rsidRPr="00556810">
        <w:rPr>
          <w:rFonts w:ascii="Calibri" w:hAnsi="Calibri" w:cs="Calibri"/>
          <w:sz w:val="22"/>
          <w:szCs w:val="22"/>
        </w:rPr>
        <w:t xml:space="preserve"> in Norcross</w:t>
      </w:r>
      <w:r w:rsidRPr="00556810">
        <w:rPr>
          <w:rFonts w:ascii="Calibri" w:hAnsi="Calibri" w:cs="Calibri"/>
          <w:sz w:val="22"/>
          <w:szCs w:val="22"/>
        </w:rPr>
        <w:t>, part of a larger park revitalization effort</w:t>
      </w:r>
    </w:p>
    <w:p w14:paraId="120C3D69" w14:textId="52574DEC" w:rsidR="00074C41" w:rsidRPr="00556810" w:rsidRDefault="00074C41" w:rsidP="00556810">
      <w:pPr>
        <w:pStyle w:val="ListParagraph"/>
        <w:numPr>
          <w:ilvl w:val="0"/>
          <w:numId w:val="4"/>
        </w:numPr>
        <w:jc w:val="both"/>
        <w:rPr>
          <w:rFonts w:ascii="Calibri" w:hAnsi="Calibri" w:cs="Calibri"/>
          <w:sz w:val="22"/>
          <w:szCs w:val="22"/>
        </w:rPr>
      </w:pPr>
      <w:r w:rsidRPr="00556810">
        <w:rPr>
          <w:rFonts w:ascii="Calibri" w:hAnsi="Calibri" w:cs="Calibri"/>
          <w:sz w:val="22"/>
          <w:szCs w:val="22"/>
        </w:rPr>
        <w:t xml:space="preserve">$15,000 to Sugarloaf Community Improvement District (CID) for two decorative crosswalks totaling 1,643 square feet, </w:t>
      </w:r>
      <w:r w:rsidR="00BC5A23" w:rsidRPr="00556810">
        <w:rPr>
          <w:rFonts w:ascii="Calibri" w:hAnsi="Calibri" w:cs="Calibri"/>
          <w:sz w:val="22"/>
          <w:szCs w:val="22"/>
        </w:rPr>
        <w:t xml:space="preserve">continuing </w:t>
      </w:r>
      <w:r w:rsidRPr="00556810">
        <w:rPr>
          <w:rFonts w:ascii="Calibri" w:hAnsi="Calibri" w:cs="Calibri"/>
          <w:sz w:val="22"/>
          <w:szCs w:val="22"/>
        </w:rPr>
        <w:t>the existing Synchronicity Mural design at the Sugarloaf Parkway and I-85 underpass</w:t>
      </w:r>
    </w:p>
    <w:p w14:paraId="7A9CA6C7" w14:textId="3F2608C1" w:rsidR="00074C41" w:rsidRPr="00556810" w:rsidRDefault="00074C41" w:rsidP="00556810">
      <w:pPr>
        <w:pStyle w:val="ListParagraph"/>
        <w:numPr>
          <w:ilvl w:val="0"/>
          <w:numId w:val="4"/>
        </w:numPr>
        <w:jc w:val="both"/>
        <w:rPr>
          <w:rFonts w:ascii="Calibri" w:hAnsi="Calibri" w:cs="Calibri"/>
          <w:sz w:val="22"/>
          <w:szCs w:val="22"/>
        </w:rPr>
      </w:pPr>
      <w:r w:rsidRPr="00556810">
        <w:rPr>
          <w:rFonts w:ascii="Calibri" w:hAnsi="Calibri" w:cs="Calibri"/>
          <w:sz w:val="22"/>
          <w:szCs w:val="22"/>
        </w:rPr>
        <w:t>$11,500 to Hudgens Center for Art &amp; Learning for an 864-square-foot wall mural at the entrance to the School of Fine Arts</w:t>
      </w:r>
    </w:p>
    <w:p w14:paraId="66B724FD" w14:textId="312AB60C" w:rsidR="00074C41" w:rsidRPr="00556810" w:rsidRDefault="00074C41" w:rsidP="00556810">
      <w:pPr>
        <w:pStyle w:val="ListParagraph"/>
        <w:numPr>
          <w:ilvl w:val="0"/>
          <w:numId w:val="4"/>
        </w:numPr>
        <w:jc w:val="both"/>
        <w:rPr>
          <w:rFonts w:ascii="Calibri" w:hAnsi="Calibri" w:cs="Calibri"/>
          <w:sz w:val="22"/>
          <w:szCs w:val="22"/>
        </w:rPr>
      </w:pPr>
      <w:r w:rsidRPr="00556810">
        <w:rPr>
          <w:rFonts w:ascii="Calibri" w:hAnsi="Calibri" w:cs="Calibri"/>
          <w:sz w:val="22"/>
          <w:szCs w:val="22"/>
        </w:rPr>
        <w:t>$7,500 to Sugarloaf Mills LP for a 288-square-foot continuation of the Sugarloaf CID decorative crosswalks</w:t>
      </w:r>
    </w:p>
    <w:p w14:paraId="19D098F6" w14:textId="77777777" w:rsidR="00074C41" w:rsidRPr="00556810" w:rsidRDefault="00074C41" w:rsidP="00556810">
      <w:pPr>
        <w:jc w:val="both"/>
        <w:rPr>
          <w:rFonts w:ascii="Calibri" w:hAnsi="Calibri" w:cs="Calibri"/>
          <w:sz w:val="22"/>
          <w:szCs w:val="22"/>
        </w:rPr>
      </w:pPr>
    </w:p>
    <w:p w14:paraId="0705F3DE" w14:textId="57C59DD7" w:rsidR="007D241D" w:rsidRPr="00556810" w:rsidRDefault="007D241D" w:rsidP="00556810">
      <w:pPr>
        <w:jc w:val="both"/>
        <w:rPr>
          <w:rFonts w:ascii="Calibri" w:hAnsi="Calibri" w:cs="Calibri"/>
          <w:b/>
          <w:bCs/>
          <w:sz w:val="22"/>
          <w:szCs w:val="22"/>
        </w:rPr>
      </w:pPr>
      <w:r w:rsidRPr="00556810">
        <w:rPr>
          <w:rFonts w:ascii="Calibri" w:hAnsi="Calibri" w:cs="Calibri"/>
          <w:b/>
          <w:bCs/>
          <w:sz w:val="22"/>
          <w:szCs w:val="22"/>
        </w:rPr>
        <w:t>The remaining $36,000 was distributed to city-based project</w:t>
      </w:r>
      <w:r w:rsidR="00532BEF" w:rsidRPr="00556810">
        <w:rPr>
          <w:rFonts w:ascii="Calibri" w:hAnsi="Calibri" w:cs="Calibri"/>
          <w:b/>
          <w:bCs/>
          <w:sz w:val="22"/>
          <w:szCs w:val="22"/>
        </w:rPr>
        <w:t>s, including</w:t>
      </w:r>
      <w:r w:rsidRPr="00556810">
        <w:rPr>
          <w:rFonts w:ascii="Calibri" w:hAnsi="Calibri" w:cs="Calibri"/>
          <w:b/>
          <w:bCs/>
          <w:sz w:val="22"/>
          <w:szCs w:val="22"/>
        </w:rPr>
        <w:t>:</w:t>
      </w:r>
    </w:p>
    <w:p w14:paraId="1B6C3440" w14:textId="24F59883" w:rsidR="00074C41" w:rsidRPr="00556810" w:rsidRDefault="00074C41" w:rsidP="00556810">
      <w:pPr>
        <w:pStyle w:val="ListParagraph"/>
        <w:numPr>
          <w:ilvl w:val="0"/>
          <w:numId w:val="3"/>
        </w:numPr>
        <w:jc w:val="both"/>
        <w:rPr>
          <w:rFonts w:ascii="Calibri" w:hAnsi="Calibri" w:cs="Calibri"/>
          <w:sz w:val="22"/>
          <w:szCs w:val="22"/>
        </w:rPr>
      </w:pPr>
      <w:r w:rsidRPr="00556810">
        <w:rPr>
          <w:rFonts w:ascii="Calibri" w:hAnsi="Calibri" w:cs="Calibri"/>
          <w:sz w:val="22"/>
          <w:szCs w:val="22"/>
        </w:rPr>
        <w:t xml:space="preserve">$12,500 to the City of Suwanee Public Arts Commission for a reading grotto at the </w:t>
      </w:r>
      <w:r w:rsidR="00BC5A23" w:rsidRPr="00556810">
        <w:rPr>
          <w:rFonts w:ascii="Calibri" w:hAnsi="Calibri" w:cs="Calibri"/>
          <w:sz w:val="22"/>
          <w:szCs w:val="22"/>
        </w:rPr>
        <w:t xml:space="preserve">Gwinnett County Public Library </w:t>
      </w:r>
      <w:r w:rsidRPr="00556810">
        <w:rPr>
          <w:rFonts w:ascii="Calibri" w:hAnsi="Calibri" w:cs="Calibri"/>
          <w:sz w:val="22"/>
          <w:szCs w:val="22"/>
        </w:rPr>
        <w:t>entrance in the new Town Center Park</w:t>
      </w:r>
    </w:p>
    <w:p w14:paraId="782694E7" w14:textId="16075E03" w:rsidR="007D241D" w:rsidRPr="00556810" w:rsidRDefault="007D241D" w:rsidP="00556810">
      <w:pPr>
        <w:pStyle w:val="ListParagraph"/>
        <w:numPr>
          <w:ilvl w:val="0"/>
          <w:numId w:val="3"/>
        </w:numPr>
        <w:jc w:val="both"/>
        <w:rPr>
          <w:rFonts w:ascii="Calibri" w:hAnsi="Calibri" w:cs="Calibri"/>
          <w:sz w:val="22"/>
          <w:szCs w:val="22"/>
        </w:rPr>
      </w:pPr>
      <w:r w:rsidRPr="00556810">
        <w:rPr>
          <w:rFonts w:ascii="Calibri" w:hAnsi="Calibri" w:cs="Calibri"/>
          <w:sz w:val="22"/>
          <w:szCs w:val="22"/>
        </w:rPr>
        <w:t>$10,000 to the Norcross Public Arts Commission for the multi-phase “Norcross Forever” utility box wrap project featuring postage-stamp-inspired designs celebrating the city’s history</w:t>
      </w:r>
    </w:p>
    <w:p w14:paraId="211D3732" w14:textId="074F8D1A" w:rsidR="00074C41" w:rsidRPr="00556810" w:rsidRDefault="00074C41" w:rsidP="00556810">
      <w:pPr>
        <w:pStyle w:val="ListParagraph"/>
        <w:numPr>
          <w:ilvl w:val="0"/>
          <w:numId w:val="3"/>
        </w:numPr>
        <w:jc w:val="both"/>
        <w:rPr>
          <w:rFonts w:ascii="Calibri" w:hAnsi="Calibri" w:cs="Calibri"/>
          <w:sz w:val="22"/>
          <w:szCs w:val="22"/>
        </w:rPr>
      </w:pPr>
      <w:r w:rsidRPr="00556810">
        <w:rPr>
          <w:rFonts w:ascii="Calibri" w:hAnsi="Calibri" w:cs="Calibri"/>
          <w:sz w:val="22"/>
          <w:szCs w:val="22"/>
        </w:rPr>
        <w:lastRenderedPageBreak/>
        <w:t>$10,000 to</w:t>
      </w:r>
      <w:r w:rsidR="003D0CA2" w:rsidRPr="00556810">
        <w:rPr>
          <w:rFonts w:ascii="Calibri" w:hAnsi="Calibri" w:cs="Calibri"/>
          <w:sz w:val="22"/>
          <w:szCs w:val="22"/>
        </w:rPr>
        <w:t xml:space="preserve"> </w:t>
      </w:r>
      <w:r w:rsidRPr="00556810">
        <w:rPr>
          <w:rFonts w:ascii="Calibri" w:hAnsi="Calibri" w:cs="Calibri"/>
          <w:sz w:val="22"/>
          <w:szCs w:val="22"/>
        </w:rPr>
        <w:t>the City of Peachtree Corners for a pocket park in Technology Park featuring a gathering space, trail, fitness equipment and more</w:t>
      </w:r>
    </w:p>
    <w:p w14:paraId="131963EB" w14:textId="4FBAB39B" w:rsidR="007D241D" w:rsidRPr="00556810" w:rsidRDefault="007D241D" w:rsidP="00556810">
      <w:pPr>
        <w:pStyle w:val="ListParagraph"/>
        <w:numPr>
          <w:ilvl w:val="0"/>
          <w:numId w:val="3"/>
        </w:numPr>
        <w:jc w:val="both"/>
        <w:rPr>
          <w:rFonts w:ascii="Calibri" w:hAnsi="Calibri" w:cs="Calibri"/>
          <w:sz w:val="22"/>
          <w:szCs w:val="22"/>
        </w:rPr>
      </w:pPr>
      <w:r w:rsidRPr="00556810">
        <w:rPr>
          <w:rFonts w:ascii="Calibri" w:hAnsi="Calibri" w:cs="Calibri"/>
          <w:sz w:val="22"/>
          <w:szCs w:val="22"/>
        </w:rPr>
        <w:t>$3,500 to the City of Duluth for a bioswale and landscape feature designed to collect and filter stormwater in a high-traffic pedestrian area adjacent to Coleman Middle School</w:t>
      </w:r>
    </w:p>
    <w:p w14:paraId="78DB38A0" w14:textId="77777777" w:rsidR="00074C41" w:rsidRPr="00556810" w:rsidRDefault="00074C41" w:rsidP="00556810">
      <w:pPr>
        <w:jc w:val="both"/>
        <w:rPr>
          <w:rFonts w:ascii="Calibri" w:hAnsi="Calibri" w:cs="Calibri"/>
          <w:sz w:val="22"/>
          <w:szCs w:val="22"/>
        </w:rPr>
      </w:pPr>
    </w:p>
    <w:p w14:paraId="73769533" w14:textId="77777777" w:rsidR="00074C41" w:rsidRPr="00556810" w:rsidRDefault="00074C41" w:rsidP="00556810">
      <w:pPr>
        <w:jc w:val="both"/>
        <w:rPr>
          <w:rFonts w:ascii="Calibri" w:hAnsi="Calibri" w:cs="Calibri"/>
          <w:sz w:val="22"/>
          <w:szCs w:val="22"/>
        </w:rPr>
      </w:pPr>
      <w:r w:rsidRPr="00556810">
        <w:rPr>
          <w:rFonts w:ascii="Calibri" w:hAnsi="Calibri" w:cs="Calibri"/>
          <w:sz w:val="22"/>
          <w:szCs w:val="22"/>
        </w:rPr>
        <w:t>“This first round of Creativity Fund Placemaking Grants represents exactly what makes Gwinnett so special – collaboration, innovation and a deep investment in our diverse communities,” said Nicole Love Hendrickson, Gwinnett County chairwoman. “I’m especially proud that many of these inspiring projects are taking root in unincorporated Gwinnett, helping us reimagine public spaces and create meaningful access to the arts for all.”</w:t>
      </w:r>
    </w:p>
    <w:p w14:paraId="10476623" w14:textId="77777777" w:rsidR="00074C41" w:rsidRPr="00556810" w:rsidRDefault="00074C41" w:rsidP="00556810">
      <w:pPr>
        <w:jc w:val="both"/>
        <w:rPr>
          <w:rFonts w:ascii="Calibri" w:hAnsi="Calibri" w:cs="Calibri"/>
          <w:sz w:val="22"/>
          <w:szCs w:val="22"/>
        </w:rPr>
      </w:pPr>
    </w:p>
    <w:p w14:paraId="192018C7" w14:textId="77777777" w:rsidR="00246A32" w:rsidRPr="00556810" w:rsidRDefault="007D241D" w:rsidP="00556810">
      <w:pPr>
        <w:jc w:val="both"/>
        <w:rPr>
          <w:rFonts w:ascii="Calibri" w:hAnsi="Calibri" w:cs="Calibri"/>
          <w:sz w:val="22"/>
          <w:szCs w:val="22"/>
        </w:rPr>
      </w:pPr>
      <w:r w:rsidRPr="00556810">
        <w:rPr>
          <w:rFonts w:ascii="Calibri" w:hAnsi="Calibri" w:cs="Calibri"/>
          <w:sz w:val="22"/>
          <w:szCs w:val="22"/>
        </w:rPr>
        <w:t xml:space="preserve">The </w:t>
      </w:r>
      <w:r w:rsidR="00246A32" w:rsidRPr="00556810">
        <w:rPr>
          <w:rFonts w:ascii="Calibri" w:hAnsi="Calibri" w:cs="Calibri"/>
          <w:sz w:val="22"/>
          <w:szCs w:val="22"/>
        </w:rPr>
        <w:t>GCF</w:t>
      </w:r>
      <w:r w:rsidRPr="00556810">
        <w:rPr>
          <w:rFonts w:ascii="Calibri" w:hAnsi="Calibri" w:cs="Calibri"/>
          <w:sz w:val="22"/>
          <w:szCs w:val="22"/>
        </w:rPr>
        <w:t xml:space="preserve"> aims to increase Gwinnett County’s profile as a cultural, inclusive destination where the arts educate, elevate and inspire. </w:t>
      </w:r>
      <w:r w:rsidR="00246A32" w:rsidRPr="00556810">
        <w:rPr>
          <w:rFonts w:ascii="Calibri" w:hAnsi="Calibri" w:cs="Calibri"/>
          <w:sz w:val="22"/>
          <w:szCs w:val="22"/>
        </w:rPr>
        <w:t xml:space="preserve">Grants are </w:t>
      </w:r>
      <w:r w:rsidRPr="00556810">
        <w:rPr>
          <w:rFonts w:ascii="Calibri" w:hAnsi="Calibri" w:cs="Calibri"/>
          <w:sz w:val="22"/>
          <w:szCs w:val="22"/>
        </w:rPr>
        <w:t xml:space="preserve">developed, administered and managed by Explore Gwinnett Tourism + Film and funded by the Gwinnett County Board of Commissioners. </w:t>
      </w:r>
      <w:r w:rsidR="00246A32" w:rsidRPr="00556810">
        <w:rPr>
          <w:rFonts w:ascii="Calibri" w:hAnsi="Calibri" w:cs="Calibri"/>
          <w:sz w:val="22"/>
          <w:szCs w:val="22"/>
        </w:rPr>
        <w:t>The GCF strives to assist organizations to grow and evolve, enhance programmatic opportunities, reach underserved audiences, and enhance Gwinnett County’s economic and cultural destination status. </w:t>
      </w:r>
    </w:p>
    <w:p w14:paraId="51F12F4D" w14:textId="39643A06" w:rsidR="007D241D" w:rsidRPr="00556810" w:rsidRDefault="007D241D" w:rsidP="00556810">
      <w:pPr>
        <w:jc w:val="both"/>
        <w:rPr>
          <w:rFonts w:ascii="Calibri" w:hAnsi="Calibri" w:cs="Calibri"/>
          <w:sz w:val="22"/>
          <w:szCs w:val="22"/>
        </w:rPr>
      </w:pPr>
    </w:p>
    <w:p w14:paraId="05BE50A2" w14:textId="05A05E88" w:rsidR="00246A32" w:rsidRPr="00556810" w:rsidRDefault="00246A32" w:rsidP="00556810">
      <w:pPr>
        <w:jc w:val="both"/>
        <w:rPr>
          <w:rFonts w:ascii="Calibri" w:hAnsi="Calibri" w:cs="Calibri"/>
          <w:b/>
          <w:bCs/>
          <w:sz w:val="22"/>
          <w:szCs w:val="22"/>
        </w:rPr>
      </w:pPr>
      <w:r w:rsidRPr="00556810">
        <w:rPr>
          <w:rFonts w:ascii="Calibri" w:hAnsi="Calibri" w:cs="Calibri"/>
          <w:b/>
          <w:bCs/>
          <w:sz w:val="22"/>
          <w:szCs w:val="22"/>
        </w:rPr>
        <w:t xml:space="preserve">For more details on the Gwinnett Creativity Fund, visit </w:t>
      </w:r>
      <w:hyperlink r:id="rId7" w:history="1">
        <w:r w:rsidRPr="00556810">
          <w:rPr>
            <w:rStyle w:val="Hyperlink"/>
            <w:rFonts w:ascii="Calibri" w:hAnsi="Calibri" w:cs="Calibri"/>
            <w:b/>
            <w:bCs/>
            <w:sz w:val="22"/>
            <w:szCs w:val="22"/>
          </w:rPr>
          <w:t>GwinnettCreativityFund.com</w:t>
        </w:r>
      </w:hyperlink>
      <w:r w:rsidRPr="00556810">
        <w:rPr>
          <w:rFonts w:ascii="Calibri" w:hAnsi="Calibri" w:cs="Calibri"/>
          <w:b/>
          <w:bCs/>
          <w:sz w:val="22"/>
          <w:szCs w:val="22"/>
        </w:rPr>
        <w:t xml:space="preserve">. For details on Explore Gwinnett, visit </w:t>
      </w:r>
      <w:hyperlink r:id="rId8" w:history="1">
        <w:r w:rsidRPr="00556810">
          <w:rPr>
            <w:rStyle w:val="Hyperlink"/>
            <w:rFonts w:ascii="Calibri" w:hAnsi="Calibri" w:cs="Calibri"/>
            <w:b/>
            <w:bCs/>
            <w:sz w:val="22"/>
            <w:szCs w:val="22"/>
          </w:rPr>
          <w:t>ExploreGwinnett.org</w:t>
        </w:r>
      </w:hyperlink>
      <w:r w:rsidRPr="00556810">
        <w:rPr>
          <w:rFonts w:ascii="Calibri" w:hAnsi="Calibri" w:cs="Calibri"/>
          <w:b/>
          <w:bCs/>
          <w:sz w:val="22"/>
          <w:szCs w:val="22"/>
        </w:rPr>
        <w:t xml:space="preserve">. Stay up-to-date on the latest news by following </w:t>
      </w:r>
      <w:hyperlink r:id="rId9" w:history="1">
        <w:r w:rsidRPr="00556810">
          <w:rPr>
            <w:rStyle w:val="Hyperlink"/>
            <w:rFonts w:ascii="Calibri" w:hAnsi="Calibri" w:cs="Calibri"/>
            <w:b/>
            <w:bCs/>
            <w:sz w:val="22"/>
            <w:szCs w:val="22"/>
          </w:rPr>
          <w:t>@ExploreGwinnett</w:t>
        </w:r>
      </w:hyperlink>
      <w:r w:rsidRPr="00556810">
        <w:rPr>
          <w:rFonts w:ascii="Calibri" w:hAnsi="Calibri" w:cs="Calibri"/>
          <w:b/>
          <w:bCs/>
          <w:sz w:val="22"/>
          <w:szCs w:val="22"/>
        </w:rPr>
        <w:t xml:space="preserve"> on Instagram or </w:t>
      </w:r>
      <w:hyperlink r:id="rId10" w:history="1">
        <w:proofErr w:type="spellStart"/>
        <w:r w:rsidRPr="00556810">
          <w:rPr>
            <w:rStyle w:val="Hyperlink"/>
            <w:rFonts w:ascii="Calibri" w:hAnsi="Calibri" w:cs="Calibri"/>
            <w:b/>
            <w:bCs/>
            <w:sz w:val="22"/>
            <w:szCs w:val="22"/>
          </w:rPr>
          <w:t>ExploreGwinnett</w:t>
        </w:r>
        <w:proofErr w:type="spellEnd"/>
      </w:hyperlink>
      <w:r w:rsidRPr="00556810">
        <w:rPr>
          <w:rFonts w:ascii="Calibri" w:hAnsi="Calibri" w:cs="Calibri"/>
          <w:b/>
          <w:bCs/>
          <w:sz w:val="22"/>
          <w:szCs w:val="22"/>
        </w:rPr>
        <w:t xml:space="preserve"> on Facebook.  </w:t>
      </w:r>
    </w:p>
    <w:p w14:paraId="4FC0B61E" w14:textId="77777777" w:rsidR="00246A32" w:rsidRPr="00556810" w:rsidRDefault="00246A32" w:rsidP="00556810">
      <w:pPr>
        <w:jc w:val="both"/>
        <w:rPr>
          <w:rFonts w:ascii="Calibri" w:hAnsi="Calibri" w:cs="Calibri"/>
          <w:sz w:val="22"/>
          <w:szCs w:val="22"/>
        </w:rPr>
      </w:pPr>
    </w:p>
    <w:p w14:paraId="6E186FB7" w14:textId="77777777" w:rsidR="00246A32" w:rsidRPr="00556810" w:rsidRDefault="00246A32" w:rsidP="00556810">
      <w:pPr>
        <w:jc w:val="both"/>
        <w:rPr>
          <w:rFonts w:ascii="Calibri" w:hAnsi="Calibri" w:cs="Calibri"/>
          <w:b/>
          <w:bCs/>
          <w:sz w:val="22"/>
          <w:szCs w:val="22"/>
          <w:u w:val="single"/>
        </w:rPr>
      </w:pPr>
      <w:r w:rsidRPr="00556810">
        <w:rPr>
          <w:rFonts w:ascii="Calibri" w:hAnsi="Calibri" w:cs="Calibri"/>
          <w:b/>
          <w:bCs/>
          <w:sz w:val="22"/>
          <w:szCs w:val="22"/>
          <w:u w:val="single"/>
        </w:rPr>
        <w:t>About Explore Gwinnett:</w:t>
      </w:r>
    </w:p>
    <w:p w14:paraId="16AA5630" w14:textId="5358AF3E" w:rsidR="002050D3" w:rsidRPr="00556810" w:rsidRDefault="00246A32" w:rsidP="00556810">
      <w:pPr>
        <w:jc w:val="both"/>
        <w:rPr>
          <w:rFonts w:ascii="Calibri" w:hAnsi="Calibri" w:cs="Calibri"/>
          <w:sz w:val="22"/>
          <w:szCs w:val="22"/>
        </w:rPr>
      </w:pPr>
      <w:bookmarkStart w:id="1" w:name="_Hlk192748723"/>
      <w:r w:rsidRPr="00556810">
        <w:rPr>
          <w:rFonts w:ascii="Calibri" w:hAnsi="Calibri" w:cs="Calibri"/>
          <w:sz w:val="22"/>
          <w:szCs w:val="22"/>
        </w:rPr>
        <w:t xml:space="preserve">Explore Gwinnett serves as the official tourism organization of Gwinnett County, which consists of 17 suburban cities northeast of Downtown Atlanta. </w:t>
      </w:r>
      <w:r w:rsidR="00DF53BE" w:rsidRPr="00556810">
        <w:rPr>
          <w:rFonts w:ascii="Calibri" w:hAnsi="Calibri" w:cs="Calibri"/>
          <w:sz w:val="22"/>
          <w:szCs w:val="22"/>
        </w:rPr>
        <w:t>Its</w:t>
      </w:r>
      <w:r w:rsidR="00BC5A23" w:rsidRPr="00556810">
        <w:rPr>
          <w:rFonts w:ascii="Calibri" w:hAnsi="Calibri" w:cs="Calibri"/>
          <w:sz w:val="22"/>
          <w:szCs w:val="22"/>
        </w:rPr>
        <w:t xml:space="preserve"> mission</w:t>
      </w:r>
      <w:r w:rsidR="002050D3" w:rsidRPr="00556810">
        <w:rPr>
          <w:rFonts w:ascii="Calibri" w:hAnsi="Calibri" w:cs="Calibri"/>
          <w:sz w:val="22"/>
          <w:szCs w:val="22"/>
        </w:rPr>
        <w:t xml:space="preserve"> </w:t>
      </w:r>
      <w:r w:rsidR="00BC5A23" w:rsidRPr="00556810">
        <w:rPr>
          <w:rFonts w:ascii="Calibri" w:hAnsi="Calibri" w:cs="Calibri"/>
          <w:sz w:val="22"/>
          <w:szCs w:val="22"/>
        </w:rPr>
        <w:t xml:space="preserve">is </w:t>
      </w:r>
      <w:r w:rsidR="002050D3" w:rsidRPr="00556810">
        <w:rPr>
          <w:rFonts w:ascii="Calibri" w:hAnsi="Calibri" w:cs="Calibri"/>
          <w:sz w:val="22"/>
          <w:szCs w:val="22"/>
        </w:rPr>
        <w:t xml:space="preserve">to </w:t>
      </w:r>
      <w:r w:rsidR="00DF53BE" w:rsidRPr="00556810">
        <w:rPr>
          <w:rFonts w:ascii="Calibri" w:hAnsi="Calibri" w:cs="Calibri"/>
          <w:sz w:val="22"/>
          <w:szCs w:val="22"/>
        </w:rPr>
        <w:t xml:space="preserve">drive </w:t>
      </w:r>
      <w:r w:rsidR="002050D3" w:rsidRPr="00556810">
        <w:rPr>
          <w:rFonts w:ascii="Calibri" w:hAnsi="Calibri" w:cs="Calibri"/>
          <w:sz w:val="22"/>
          <w:szCs w:val="22"/>
        </w:rPr>
        <w:t xml:space="preserve">economic impact and </w:t>
      </w:r>
      <w:r w:rsidR="00DF53BE" w:rsidRPr="00556810">
        <w:rPr>
          <w:rFonts w:ascii="Calibri" w:hAnsi="Calibri" w:cs="Calibri"/>
          <w:sz w:val="22"/>
          <w:szCs w:val="22"/>
        </w:rPr>
        <w:t>position the county</w:t>
      </w:r>
      <w:r w:rsidR="002050D3" w:rsidRPr="00556810">
        <w:rPr>
          <w:rFonts w:ascii="Calibri" w:hAnsi="Calibri" w:cs="Calibri"/>
          <w:sz w:val="22"/>
          <w:szCs w:val="22"/>
        </w:rPr>
        <w:t xml:space="preserve"> as a</w:t>
      </w:r>
      <w:r w:rsidR="00DF53BE" w:rsidRPr="00556810">
        <w:rPr>
          <w:rFonts w:ascii="Calibri" w:hAnsi="Calibri" w:cs="Calibri"/>
          <w:sz w:val="22"/>
          <w:szCs w:val="22"/>
        </w:rPr>
        <w:t xml:space="preserve"> premier</w:t>
      </w:r>
      <w:r w:rsidR="002050D3" w:rsidRPr="00556810">
        <w:rPr>
          <w:rFonts w:ascii="Calibri" w:hAnsi="Calibri" w:cs="Calibri"/>
          <w:sz w:val="22"/>
          <w:szCs w:val="22"/>
        </w:rPr>
        <w:t xml:space="preserve"> tourism destination by </w:t>
      </w:r>
      <w:r w:rsidR="00DF53BE" w:rsidRPr="00556810">
        <w:rPr>
          <w:rFonts w:ascii="Calibri" w:hAnsi="Calibri" w:cs="Calibri"/>
          <w:sz w:val="22"/>
          <w:szCs w:val="22"/>
        </w:rPr>
        <w:t xml:space="preserve">supporting more than </w:t>
      </w:r>
      <w:r w:rsidR="002050D3" w:rsidRPr="00556810">
        <w:rPr>
          <w:rFonts w:ascii="Calibri" w:hAnsi="Calibri" w:cs="Calibri"/>
          <w:sz w:val="22"/>
          <w:szCs w:val="22"/>
        </w:rPr>
        <w:t>100 hotels and</w:t>
      </w:r>
      <w:r w:rsidR="00BC5A23" w:rsidRPr="00556810">
        <w:rPr>
          <w:rFonts w:ascii="Calibri" w:hAnsi="Calibri" w:cs="Calibri"/>
          <w:sz w:val="22"/>
          <w:szCs w:val="22"/>
        </w:rPr>
        <w:t xml:space="preserve"> </w:t>
      </w:r>
      <w:r w:rsidR="00DF53BE" w:rsidRPr="00556810">
        <w:rPr>
          <w:rFonts w:ascii="Calibri" w:hAnsi="Calibri" w:cs="Calibri"/>
          <w:sz w:val="22"/>
          <w:szCs w:val="22"/>
        </w:rPr>
        <w:t>generating</w:t>
      </w:r>
      <w:r w:rsidR="00BC5A23" w:rsidRPr="00556810">
        <w:rPr>
          <w:rFonts w:ascii="Calibri" w:hAnsi="Calibri" w:cs="Calibri"/>
          <w:sz w:val="22"/>
          <w:szCs w:val="22"/>
        </w:rPr>
        <w:t xml:space="preserve"> </w:t>
      </w:r>
      <w:r w:rsidR="00DF53BE" w:rsidRPr="00556810">
        <w:rPr>
          <w:rFonts w:ascii="Calibri" w:hAnsi="Calibri" w:cs="Calibri"/>
          <w:sz w:val="22"/>
          <w:szCs w:val="22"/>
        </w:rPr>
        <w:t>over</w:t>
      </w:r>
      <w:r w:rsidR="00BC5A23" w:rsidRPr="00556810">
        <w:rPr>
          <w:rFonts w:ascii="Calibri" w:hAnsi="Calibri" w:cs="Calibri"/>
          <w:sz w:val="22"/>
          <w:szCs w:val="22"/>
        </w:rPr>
        <w:t xml:space="preserve"> </w:t>
      </w:r>
      <w:r w:rsidR="002050D3" w:rsidRPr="00556810">
        <w:rPr>
          <w:rFonts w:ascii="Calibri" w:hAnsi="Calibri" w:cs="Calibri"/>
          <w:sz w:val="22"/>
          <w:szCs w:val="22"/>
        </w:rPr>
        <w:t>$1 billion in annual visitor expenditures</w:t>
      </w:r>
      <w:r w:rsidR="00BC5A23" w:rsidRPr="00556810">
        <w:rPr>
          <w:rFonts w:ascii="Calibri" w:hAnsi="Calibri" w:cs="Calibri"/>
          <w:sz w:val="22"/>
          <w:szCs w:val="22"/>
        </w:rPr>
        <w:t>.</w:t>
      </w:r>
    </w:p>
    <w:p w14:paraId="197343C5" w14:textId="77777777" w:rsidR="00BC5A23" w:rsidRPr="00556810" w:rsidRDefault="00BC5A23" w:rsidP="00556810">
      <w:pPr>
        <w:jc w:val="both"/>
        <w:rPr>
          <w:rFonts w:ascii="Calibri" w:hAnsi="Calibri" w:cs="Calibri"/>
          <w:sz w:val="22"/>
          <w:szCs w:val="22"/>
        </w:rPr>
      </w:pPr>
    </w:p>
    <w:p w14:paraId="7EE1786F" w14:textId="4CC4F3DD" w:rsidR="00BC5A23" w:rsidRPr="00556810" w:rsidRDefault="00246A32" w:rsidP="00556810">
      <w:pPr>
        <w:jc w:val="both"/>
        <w:rPr>
          <w:rFonts w:ascii="Calibri" w:hAnsi="Calibri" w:cs="Calibri"/>
          <w:sz w:val="22"/>
          <w:szCs w:val="22"/>
        </w:rPr>
      </w:pPr>
      <w:r w:rsidRPr="00556810">
        <w:rPr>
          <w:rFonts w:ascii="Calibri" w:hAnsi="Calibri" w:cs="Calibri"/>
          <w:sz w:val="22"/>
          <w:szCs w:val="22"/>
        </w:rPr>
        <w:t xml:space="preserve">Gwinnett County </w:t>
      </w:r>
      <w:r w:rsidR="00DF53BE" w:rsidRPr="00556810">
        <w:rPr>
          <w:rFonts w:ascii="Calibri" w:hAnsi="Calibri" w:cs="Calibri"/>
          <w:sz w:val="22"/>
          <w:szCs w:val="22"/>
        </w:rPr>
        <w:t xml:space="preserve">boasts </w:t>
      </w:r>
      <w:r w:rsidRPr="00556810">
        <w:rPr>
          <w:rFonts w:ascii="Calibri" w:hAnsi="Calibri" w:cs="Calibri"/>
          <w:sz w:val="22"/>
          <w:szCs w:val="22"/>
        </w:rPr>
        <w:t xml:space="preserve">award-winning dining ranging from authentic Asian fare to southern delights, an abundance of shopping, arts programming, outdoor activities and more. Locals and tourists alike can explore various culinary offerings </w:t>
      </w:r>
      <w:r w:rsidR="00DF53BE" w:rsidRPr="00556810">
        <w:rPr>
          <w:rFonts w:ascii="Calibri" w:hAnsi="Calibri" w:cs="Calibri"/>
          <w:sz w:val="22"/>
          <w:szCs w:val="22"/>
        </w:rPr>
        <w:t xml:space="preserve">through </w:t>
      </w:r>
      <w:r w:rsidR="00BC5A23" w:rsidRPr="00556810">
        <w:rPr>
          <w:rFonts w:ascii="Calibri" w:hAnsi="Calibri" w:cs="Calibri"/>
          <w:sz w:val="22"/>
          <w:szCs w:val="22"/>
        </w:rPr>
        <w:t>innovative</w:t>
      </w:r>
      <w:r w:rsidRPr="00556810">
        <w:rPr>
          <w:rFonts w:ascii="Calibri" w:hAnsi="Calibri" w:cs="Calibri"/>
          <w:sz w:val="22"/>
          <w:szCs w:val="22"/>
        </w:rPr>
        <w:t xml:space="preserve"> events including </w:t>
      </w:r>
      <w:r w:rsidR="00BC5A23" w:rsidRPr="00556810">
        <w:rPr>
          <w:rFonts w:ascii="Calibri" w:hAnsi="Calibri" w:cs="Calibri"/>
          <w:sz w:val="22"/>
          <w:szCs w:val="22"/>
        </w:rPr>
        <w:t>Gwinnett Burger Week</w:t>
      </w:r>
      <w:r w:rsidRPr="00556810">
        <w:rPr>
          <w:rFonts w:ascii="Calibri" w:hAnsi="Calibri" w:cs="Calibri"/>
          <w:sz w:val="22"/>
          <w:szCs w:val="22"/>
        </w:rPr>
        <w:t xml:space="preserve"> and Seoul of the South</w:t>
      </w:r>
      <w:r w:rsidR="00DF53BE" w:rsidRPr="00556810">
        <w:rPr>
          <w:rFonts w:ascii="Calibri" w:hAnsi="Calibri" w:cs="Calibri"/>
          <w:sz w:val="22"/>
          <w:szCs w:val="22"/>
        </w:rPr>
        <w:t>™</w:t>
      </w:r>
      <w:r w:rsidRPr="00556810">
        <w:rPr>
          <w:rFonts w:ascii="Calibri" w:hAnsi="Calibri" w:cs="Calibri"/>
          <w:sz w:val="22"/>
          <w:szCs w:val="22"/>
        </w:rPr>
        <w:t xml:space="preserve"> Food Tours. </w:t>
      </w:r>
      <w:bookmarkEnd w:id="1"/>
      <w:r w:rsidR="00BC5A23" w:rsidRPr="00556810">
        <w:rPr>
          <w:rFonts w:ascii="Calibri" w:hAnsi="Calibri" w:cs="Calibri"/>
          <w:sz w:val="22"/>
          <w:szCs w:val="22"/>
        </w:rPr>
        <w:t xml:space="preserve">Gwinnett County is a flourishing community for the creative economy, and Explore Gwinnett leads both the Gwinnett Creativity Fund and the Gwinnett Film Commission, supporting </w:t>
      </w:r>
      <w:r w:rsidR="00DF53BE" w:rsidRPr="00556810">
        <w:rPr>
          <w:rFonts w:ascii="Calibri" w:hAnsi="Calibri" w:cs="Calibri"/>
          <w:sz w:val="22"/>
          <w:szCs w:val="22"/>
        </w:rPr>
        <w:t>the counties</w:t>
      </w:r>
      <w:r w:rsidR="00BC5A23" w:rsidRPr="00556810">
        <w:rPr>
          <w:rFonts w:ascii="Calibri" w:hAnsi="Calibri" w:cs="Calibri"/>
          <w:sz w:val="22"/>
          <w:szCs w:val="22"/>
        </w:rPr>
        <w:t xml:space="preserve"> thriving production ecosystem for film/television. </w:t>
      </w:r>
    </w:p>
    <w:p w14:paraId="421ACFB0" w14:textId="77777777" w:rsidR="00246A32" w:rsidRPr="00556810" w:rsidRDefault="00246A32" w:rsidP="00556810">
      <w:pPr>
        <w:jc w:val="both"/>
        <w:rPr>
          <w:rFonts w:ascii="Calibri" w:hAnsi="Calibri" w:cs="Calibri"/>
          <w:sz w:val="22"/>
          <w:szCs w:val="22"/>
        </w:rPr>
      </w:pPr>
    </w:p>
    <w:p w14:paraId="199E685C" w14:textId="77777777" w:rsidR="00246A32" w:rsidRPr="00556810" w:rsidRDefault="00246A32" w:rsidP="00556810">
      <w:pPr>
        <w:jc w:val="center"/>
        <w:rPr>
          <w:rFonts w:ascii="Calibri" w:hAnsi="Calibri" w:cs="Calibri"/>
          <w:sz w:val="22"/>
          <w:szCs w:val="22"/>
        </w:rPr>
      </w:pPr>
      <w:r w:rsidRPr="00556810">
        <w:rPr>
          <w:rFonts w:ascii="Calibri" w:hAnsi="Calibri" w:cs="Calibri"/>
          <w:sz w:val="22"/>
          <w:szCs w:val="22"/>
        </w:rPr>
        <w:t>###</w:t>
      </w:r>
    </w:p>
    <w:p w14:paraId="6D164798" w14:textId="77777777" w:rsidR="00246A32" w:rsidRPr="00556810" w:rsidRDefault="00246A32" w:rsidP="00556810">
      <w:pPr>
        <w:jc w:val="both"/>
        <w:rPr>
          <w:rFonts w:ascii="Calibri" w:hAnsi="Calibri" w:cs="Calibri"/>
          <w:sz w:val="22"/>
          <w:szCs w:val="22"/>
        </w:rPr>
      </w:pPr>
    </w:p>
    <w:p w14:paraId="0AC57893" w14:textId="77777777" w:rsidR="00246A32" w:rsidRPr="00556810" w:rsidRDefault="00246A32" w:rsidP="00556810">
      <w:pPr>
        <w:jc w:val="both"/>
        <w:rPr>
          <w:rFonts w:ascii="Calibri" w:hAnsi="Calibri" w:cs="Calibri"/>
          <w:b/>
          <w:bCs/>
          <w:sz w:val="22"/>
          <w:szCs w:val="22"/>
        </w:rPr>
      </w:pPr>
      <w:r w:rsidRPr="00556810">
        <w:rPr>
          <w:rFonts w:ascii="Calibri" w:hAnsi="Calibri" w:cs="Calibri"/>
          <w:b/>
          <w:bCs/>
          <w:sz w:val="22"/>
          <w:szCs w:val="22"/>
        </w:rPr>
        <w:t>MEDIA CONTACT:</w:t>
      </w:r>
    </w:p>
    <w:p w14:paraId="54AF57AC" w14:textId="77777777" w:rsidR="00246A32" w:rsidRPr="00556810" w:rsidRDefault="00246A32" w:rsidP="00556810">
      <w:pPr>
        <w:jc w:val="both"/>
        <w:rPr>
          <w:rFonts w:ascii="Calibri" w:hAnsi="Calibri" w:cs="Calibri"/>
          <w:sz w:val="22"/>
          <w:szCs w:val="22"/>
        </w:rPr>
      </w:pPr>
      <w:r w:rsidRPr="00556810">
        <w:rPr>
          <w:rFonts w:ascii="Calibri" w:hAnsi="Calibri" w:cs="Calibri"/>
          <w:sz w:val="22"/>
          <w:szCs w:val="22"/>
        </w:rPr>
        <w:t xml:space="preserve">Cameron Trice, Hemsworth </w:t>
      </w:r>
    </w:p>
    <w:p w14:paraId="2D965704" w14:textId="143F7A44" w:rsidR="00246A32" w:rsidRPr="00556810" w:rsidRDefault="00246A32" w:rsidP="00556810">
      <w:pPr>
        <w:jc w:val="both"/>
        <w:rPr>
          <w:rFonts w:ascii="Calibri" w:hAnsi="Calibri" w:cs="Calibri"/>
          <w:sz w:val="22"/>
          <w:szCs w:val="22"/>
        </w:rPr>
        <w:sectPr w:rsidR="00246A32" w:rsidRPr="00556810" w:rsidSect="00246A32">
          <w:pgSz w:w="12240" w:h="15840"/>
          <w:pgMar w:top="1440" w:right="1440" w:bottom="1440" w:left="1440" w:header="720" w:footer="720" w:gutter="0"/>
          <w:cols w:space="720"/>
        </w:sectPr>
      </w:pPr>
      <w:r w:rsidRPr="00556810">
        <w:rPr>
          <w:rFonts w:ascii="Calibri" w:hAnsi="Calibri" w:cs="Calibri"/>
          <w:sz w:val="22"/>
          <w:szCs w:val="22"/>
        </w:rPr>
        <w:t xml:space="preserve">770-286-2207 | </w:t>
      </w:r>
      <w:hyperlink r:id="rId11" w:history="1">
        <w:r w:rsidRPr="00556810">
          <w:rPr>
            <w:rStyle w:val="Hyperlink"/>
            <w:rFonts w:ascii="Calibri" w:hAnsi="Calibri" w:cs="Calibri"/>
            <w:sz w:val="22"/>
            <w:szCs w:val="22"/>
          </w:rPr>
          <w:t>ExploreGwinnettPR@HemsworthCommunications.com</w:t>
        </w:r>
      </w:hyperlink>
    </w:p>
    <w:p w14:paraId="08129E8A" w14:textId="77777777" w:rsidR="00246A32" w:rsidRPr="00081800" w:rsidRDefault="00246A32" w:rsidP="00081800">
      <w:pPr>
        <w:jc w:val="both"/>
        <w:rPr>
          <w:rFonts w:ascii="Calibri" w:hAnsi="Calibri" w:cs="Calibri"/>
          <w:sz w:val="22"/>
          <w:szCs w:val="22"/>
        </w:rPr>
      </w:pPr>
    </w:p>
    <w:sectPr w:rsidR="00246A32" w:rsidRPr="000818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17C"/>
    <w:multiLevelType w:val="hybridMultilevel"/>
    <w:tmpl w:val="25BAB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2C31E9"/>
    <w:multiLevelType w:val="hybridMultilevel"/>
    <w:tmpl w:val="C8A88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047334"/>
    <w:multiLevelType w:val="hybridMultilevel"/>
    <w:tmpl w:val="BDB8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0158E6"/>
    <w:multiLevelType w:val="hybridMultilevel"/>
    <w:tmpl w:val="4C9E9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2755891">
    <w:abstractNumId w:val="3"/>
  </w:num>
  <w:num w:numId="2" w16cid:durableId="699623988">
    <w:abstractNumId w:val="1"/>
  </w:num>
  <w:num w:numId="3" w16cid:durableId="726925746">
    <w:abstractNumId w:val="2"/>
  </w:num>
  <w:num w:numId="4" w16cid:durableId="1826045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720"/>
    <w:rsid w:val="00000D58"/>
    <w:rsid w:val="00006C78"/>
    <w:rsid w:val="00074C41"/>
    <w:rsid w:val="00081800"/>
    <w:rsid w:val="00116B1C"/>
    <w:rsid w:val="00186720"/>
    <w:rsid w:val="001D02D0"/>
    <w:rsid w:val="002050D3"/>
    <w:rsid w:val="00246A32"/>
    <w:rsid w:val="002643A4"/>
    <w:rsid w:val="002A6BF9"/>
    <w:rsid w:val="002B2975"/>
    <w:rsid w:val="003D0CA2"/>
    <w:rsid w:val="003E4409"/>
    <w:rsid w:val="003F20C9"/>
    <w:rsid w:val="003F7C94"/>
    <w:rsid w:val="00452A1C"/>
    <w:rsid w:val="00460EE1"/>
    <w:rsid w:val="00474E0B"/>
    <w:rsid w:val="00532BEF"/>
    <w:rsid w:val="00545C53"/>
    <w:rsid w:val="00546B13"/>
    <w:rsid w:val="00556810"/>
    <w:rsid w:val="005E244C"/>
    <w:rsid w:val="00634373"/>
    <w:rsid w:val="006C0411"/>
    <w:rsid w:val="007B5D47"/>
    <w:rsid w:val="007D241D"/>
    <w:rsid w:val="007F554B"/>
    <w:rsid w:val="0080211A"/>
    <w:rsid w:val="0083738F"/>
    <w:rsid w:val="008D58FD"/>
    <w:rsid w:val="009505B8"/>
    <w:rsid w:val="009F1482"/>
    <w:rsid w:val="00A32CDA"/>
    <w:rsid w:val="00AB4AC2"/>
    <w:rsid w:val="00BC1752"/>
    <w:rsid w:val="00BC5A23"/>
    <w:rsid w:val="00CE57C8"/>
    <w:rsid w:val="00DC2027"/>
    <w:rsid w:val="00DF53BE"/>
    <w:rsid w:val="00E37604"/>
    <w:rsid w:val="00ED3B7D"/>
    <w:rsid w:val="00F556EE"/>
    <w:rsid w:val="00F80D69"/>
    <w:rsid w:val="00F82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2CABC"/>
  <w15:chartTrackingRefBased/>
  <w15:docId w15:val="{A0ECC0FD-5F6F-43C9-99FE-57D53F73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6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6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6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6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67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67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67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67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6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6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6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6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6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6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6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6720"/>
    <w:rPr>
      <w:rFonts w:eastAsiaTheme="majorEastAsia" w:cstheme="majorBidi"/>
      <w:color w:val="272727" w:themeColor="text1" w:themeTint="D8"/>
    </w:rPr>
  </w:style>
  <w:style w:type="paragraph" w:styleId="Title">
    <w:name w:val="Title"/>
    <w:basedOn w:val="Normal"/>
    <w:next w:val="Normal"/>
    <w:link w:val="TitleChar"/>
    <w:uiPriority w:val="10"/>
    <w:qFormat/>
    <w:rsid w:val="001867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6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672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6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672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86720"/>
    <w:rPr>
      <w:i/>
      <w:iCs/>
      <w:color w:val="404040" w:themeColor="text1" w:themeTint="BF"/>
    </w:rPr>
  </w:style>
  <w:style w:type="paragraph" w:styleId="ListParagraph">
    <w:name w:val="List Paragraph"/>
    <w:basedOn w:val="Normal"/>
    <w:uiPriority w:val="34"/>
    <w:qFormat/>
    <w:rsid w:val="00186720"/>
    <w:pPr>
      <w:ind w:left="720"/>
      <w:contextualSpacing/>
    </w:pPr>
  </w:style>
  <w:style w:type="character" w:styleId="IntenseEmphasis">
    <w:name w:val="Intense Emphasis"/>
    <w:basedOn w:val="DefaultParagraphFont"/>
    <w:uiPriority w:val="21"/>
    <w:qFormat/>
    <w:rsid w:val="00186720"/>
    <w:rPr>
      <w:i/>
      <w:iCs/>
      <w:color w:val="0F4761" w:themeColor="accent1" w:themeShade="BF"/>
    </w:rPr>
  </w:style>
  <w:style w:type="paragraph" w:styleId="IntenseQuote">
    <w:name w:val="Intense Quote"/>
    <w:basedOn w:val="Normal"/>
    <w:next w:val="Normal"/>
    <w:link w:val="IntenseQuoteChar"/>
    <w:uiPriority w:val="30"/>
    <w:qFormat/>
    <w:rsid w:val="00186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6720"/>
    <w:rPr>
      <w:i/>
      <w:iCs/>
      <w:color w:val="0F4761" w:themeColor="accent1" w:themeShade="BF"/>
    </w:rPr>
  </w:style>
  <w:style w:type="character" w:styleId="IntenseReference">
    <w:name w:val="Intense Reference"/>
    <w:basedOn w:val="DefaultParagraphFont"/>
    <w:uiPriority w:val="32"/>
    <w:qFormat/>
    <w:rsid w:val="00186720"/>
    <w:rPr>
      <w:b/>
      <w:bCs/>
      <w:smallCaps/>
      <w:color w:val="0F4761" w:themeColor="accent1" w:themeShade="BF"/>
      <w:spacing w:val="5"/>
    </w:rPr>
  </w:style>
  <w:style w:type="character" w:styleId="Hyperlink">
    <w:name w:val="Hyperlink"/>
    <w:basedOn w:val="DefaultParagraphFont"/>
    <w:uiPriority w:val="99"/>
    <w:unhideWhenUsed/>
    <w:rsid w:val="00186720"/>
    <w:rPr>
      <w:color w:val="0563C1"/>
      <w:u w:val="single"/>
    </w:rPr>
  </w:style>
  <w:style w:type="paragraph" w:styleId="NoSpacing">
    <w:name w:val="No Spacing"/>
    <w:basedOn w:val="Normal"/>
    <w:uiPriority w:val="1"/>
    <w:qFormat/>
    <w:rsid w:val="00186720"/>
    <w:rPr>
      <w:rFonts w:ascii="Calibri" w:hAnsi="Calibri" w:cs="Calibri"/>
      <w:kern w:val="0"/>
    </w:rPr>
  </w:style>
  <w:style w:type="character" w:styleId="CommentReference">
    <w:name w:val="annotation reference"/>
    <w:basedOn w:val="DefaultParagraphFont"/>
    <w:uiPriority w:val="99"/>
    <w:semiHidden/>
    <w:unhideWhenUsed/>
    <w:rsid w:val="00074C41"/>
    <w:rPr>
      <w:sz w:val="16"/>
      <w:szCs w:val="16"/>
    </w:rPr>
  </w:style>
  <w:style w:type="paragraph" w:styleId="CommentText">
    <w:name w:val="annotation text"/>
    <w:basedOn w:val="Normal"/>
    <w:link w:val="CommentTextChar"/>
    <w:uiPriority w:val="99"/>
    <w:unhideWhenUsed/>
    <w:rsid w:val="00074C41"/>
    <w:rPr>
      <w:rFonts w:ascii="Calibri" w:hAnsi="Calibri" w:cs="Calibri"/>
      <w:kern w:val="0"/>
      <w:sz w:val="20"/>
      <w:szCs w:val="20"/>
    </w:rPr>
  </w:style>
  <w:style w:type="character" w:customStyle="1" w:styleId="CommentTextChar">
    <w:name w:val="Comment Text Char"/>
    <w:basedOn w:val="DefaultParagraphFont"/>
    <w:link w:val="CommentText"/>
    <w:uiPriority w:val="99"/>
    <w:rsid w:val="00074C41"/>
    <w:rPr>
      <w:rFonts w:ascii="Calibri" w:hAnsi="Calibri" w:cs="Calibri"/>
      <w:kern w:val="0"/>
      <w:sz w:val="20"/>
      <w:szCs w:val="20"/>
    </w:rPr>
  </w:style>
  <w:style w:type="character" w:styleId="UnresolvedMention">
    <w:name w:val="Unresolved Mention"/>
    <w:basedOn w:val="DefaultParagraphFont"/>
    <w:uiPriority w:val="99"/>
    <w:semiHidden/>
    <w:unhideWhenUsed/>
    <w:rsid w:val="00246A32"/>
    <w:rPr>
      <w:color w:val="605E5C"/>
      <w:shd w:val="clear" w:color="auto" w:fill="E1DFDD"/>
    </w:rPr>
  </w:style>
  <w:style w:type="paragraph" w:customStyle="1" w:styleId="xxmsonormal">
    <w:name w:val="x_x_msonormal"/>
    <w:basedOn w:val="Normal"/>
    <w:rsid w:val="00246A32"/>
    <w:pPr>
      <w:spacing w:before="100" w:beforeAutospacing="1" w:after="100" w:afterAutospacing="1"/>
    </w:pPr>
    <w:rPr>
      <w:rFonts w:ascii="Times New Roman" w:eastAsia="Times New Roman" w:hAnsi="Times New Roman" w:cs="Times New Roman"/>
      <w:kern w:val="0"/>
      <w14:ligatures w14:val="none"/>
    </w:rPr>
  </w:style>
  <w:style w:type="character" w:customStyle="1" w:styleId="mark4u0xc7u9l">
    <w:name w:val="mark4u0xc7u9l"/>
    <w:basedOn w:val="DefaultParagraphFont"/>
    <w:rsid w:val="00246A32"/>
  </w:style>
  <w:style w:type="character" w:styleId="Strong">
    <w:name w:val="Strong"/>
    <w:basedOn w:val="DefaultParagraphFont"/>
    <w:uiPriority w:val="22"/>
    <w:qFormat/>
    <w:rsid w:val="003F20C9"/>
    <w:rPr>
      <w:b/>
      <w:bCs/>
    </w:rPr>
  </w:style>
  <w:style w:type="paragraph" w:styleId="CommentSubject">
    <w:name w:val="annotation subject"/>
    <w:basedOn w:val="CommentText"/>
    <w:next w:val="CommentText"/>
    <w:link w:val="CommentSubjectChar"/>
    <w:uiPriority w:val="99"/>
    <w:semiHidden/>
    <w:unhideWhenUsed/>
    <w:rsid w:val="001D02D0"/>
    <w:rPr>
      <w:rFonts w:asciiTheme="minorHAnsi" w:hAnsiTheme="minorHAnsi" w:cstheme="minorBidi"/>
      <w:b/>
      <w:bCs/>
      <w:kern w:val="2"/>
    </w:rPr>
  </w:style>
  <w:style w:type="character" w:customStyle="1" w:styleId="CommentSubjectChar">
    <w:name w:val="Comment Subject Char"/>
    <w:basedOn w:val="CommentTextChar"/>
    <w:link w:val="CommentSubject"/>
    <w:uiPriority w:val="99"/>
    <w:semiHidden/>
    <w:rsid w:val="001D02D0"/>
    <w:rPr>
      <w:rFonts w:ascii="Calibri" w:hAnsi="Calibri" w:cs="Calibri"/>
      <w:b/>
      <w:bCs/>
      <w:kern w:val="0"/>
      <w:sz w:val="20"/>
      <w:szCs w:val="20"/>
    </w:rPr>
  </w:style>
  <w:style w:type="paragraph" w:styleId="Revision">
    <w:name w:val="Revision"/>
    <w:hidden/>
    <w:uiPriority w:val="99"/>
    <w:semiHidden/>
    <w:rsid w:val="00BC5A23"/>
  </w:style>
  <w:style w:type="character" w:styleId="FollowedHyperlink">
    <w:name w:val="FollowedHyperlink"/>
    <w:basedOn w:val="DefaultParagraphFont"/>
    <w:uiPriority w:val="99"/>
    <w:semiHidden/>
    <w:unhideWhenUsed/>
    <w:rsid w:val="00BC17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1070">
      <w:bodyDiv w:val="1"/>
      <w:marLeft w:val="0"/>
      <w:marRight w:val="0"/>
      <w:marTop w:val="0"/>
      <w:marBottom w:val="0"/>
      <w:divBdr>
        <w:top w:val="none" w:sz="0" w:space="0" w:color="auto"/>
        <w:left w:val="none" w:sz="0" w:space="0" w:color="auto"/>
        <w:bottom w:val="none" w:sz="0" w:space="0" w:color="auto"/>
        <w:right w:val="none" w:sz="0" w:space="0" w:color="auto"/>
      </w:divBdr>
    </w:div>
    <w:div w:id="399600125">
      <w:bodyDiv w:val="1"/>
      <w:marLeft w:val="0"/>
      <w:marRight w:val="0"/>
      <w:marTop w:val="0"/>
      <w:marBottom w:val="0"/>
      <w:divBdr>
        <w:top w:val="none" w:sz="0" w:space="0" w:color="auto"/>
        <w:left w:val="none" w:sz="0" w:space="0" w:color="auto"/>
        <w:bottom w:val="none" w:sz="0" w:space="0" w:color="auto"/>
        <w:right w:val="none" w:sz="0" w:space="0" w:color="auto"/>
      </w:divBdr>
    </w:div>
    <w:div w:id="434324467">
      <w:bodyDiv w:val="1"/>
      <w:marLeft w:val="0"/>
      <w:marRight w:val="0"/>
      <w:marTop w:val="0"/>
      <w:marBottom w:val="0"/>
      <w:divBdr>
        <w:top w:val="none" w:sz="0" w:space="0" w:color="auto"/>
        <w:left w:val="none" w:sz="0" w:space="0" w:color="auto"/>
        <w:bottom w:val="none" w:sz="0" w:space="0" w:color="auto"/>
        <w:right w:val="none" w:sz="0" w:space="0" w:color="auto"/>
      </w:divBdr>
    </w:div>
    <w:div w:id="1079519761">
      <w:bodyDiv w:val="1"/>
      <w:marLeft w:val="0"/>
      <w:marRight w:val="0"/>
      <w:marTop w:val="0"/>
      <w:marBottom w:val="0"/>
      <w:divBdr>
        <w:top w:val="none" w:sz="0" w:space="0" w:color="auto"/>
        <w:left w:val="none" w:sz="0" w:space="0" w:color="auto"/>
        <w:bottom w:val="none" w:sz="0" w:space="0" w:color="auto"/>
        <w:right w:val="none" w:sz="0" w:space="0" w:color="auto"/>
      </w:divBdr>
    </w:div>
    <w:div w:id="1092050630">
      <w:bodyDiv w:val="1"/>
      <w:marLeft w:val="0"/>
      <w:marRight w:val="0"/>
      <w:marTop w:val="0"/>
      <w:marBottom w:val="0"/>
      <w:divBdr>
        <w:top w:val="none" w:sz="0" w:space="0" w:color="auto"/>
        <w:left w:val="none" w:sz="0" w:space="0" w:color="auto"/>
        <w:bottom w:val="none" w:sz="0" w:space="0" w:color="auto"/>
        <w:right w:val="none" w:sz="0" w:space="0" w:color="auto"/>
      </w:divBdr>
    </w:div>
    <w:div w:id="1159418116">
      <w:bodyDiv w:val="1"/>
      <w:marLeft w:val="0"/>
      <w:marRight w:val="0"/>
      <w:marTop w:val="0"/>
      <w:marBottom w:val="0"/>
      <w:divBdr>
        <w:top w:val="none" w:sz="0" w:space="0" w:color="auto"/>
        <w:left w:val="none" w:sz="0" w:space="0" w:color="auto"/>
        <w:bottom w:val="none" w:sz="0" w:space="0" w:color="auto"/>
        <w:right w:val="none" w:sz="0" w:space="0" w:color="auto"/>
      </w:divBdr>
    </w:div>
    <w:div w:id="1323506671">
      <w:bodyDiv w:val="1"/>
      <w:marLeft w:val="0"/>
      <w:marRight w:val="0"/>
      <w:marTop w:val="0"/>
      <w:marBottom w:val="0"/>
      <w:divBdr>
        <w:top w:val="none" w:sz="0" w:space="0" w:color="auto"/>
        <w:left w:val="none" w:sz="0" w:space="0" w:color="auto"/>
        <w:bottom w:val="none" w:sz="0" w:space="0" w:color="auto"/>
        <w:right w:val="none" w:sz="0" w:space="0" w:color="auto"/>
      </w:divBdr>
    </w:div>
    <w:div w:id="1541740504">
      <w:bodyDiv w:val="1"/>
      <w:marLeft w:val="0"/>
      <w:marRight w:val="0"/>
      <w:marTop w:val="0"/>
      <w:marBottom w:val="0"/>
      <w:divBdr>
        <w:top w:val="none" w:sz="0" w:space="0" w:color="auto"/>
        <w:left w:val="none" w:sz="0" w:space="0" w:color="auto"/>
        <w:bottom w:val="none" w:sz="0" w:space="0" w:color="auto"/>
        <w:right w:val="none" w:sz="0" w:space="0" w:color="auto"/>
      </w:divBdr>
    </w:div>
    <w:div w:id="1565339293">
      <w:bodyDiv w:val="1"/>
      <w:marLeft w:val="0"/>
      <w:marRight w:val="0"/>
      <w:marTop w:val="0"/>
      <w:marBottom w:val="0"/>
      <w:divBdr>
        <w:top w:val="none" w:sz="0" w:space="0" w:color="auto"/>
        <w:left w:val="none" w:sz="0" w:space="0" w:color="auto"/>
        <w:bottom w:val="none" w:sz="0" w:space="0" w:color="auto"/>
        <w:right w:val="none" w:sz="0" w:space="0" w:color="auto"/>
      </w:divBdr>
    </w:div>
    <w:div w:id="1688142420">
      <w:bodyDiv w:val="1"/>
      <w:marLeft w:val="0"/>
      <w:marRight w:val="0"/>
      <w:marTop w:val="0"/>
      <w:marBottom w:val="0"/>
      <w:divBdr>
        <w:top w:val="none" w:sz="0" w:space="0" w:color="auto"/>
        <w:left w:val="none" w:sz="0" w:space="0" w:color="auto"/>
        <w:bottom w:val="none" w:sz="0" w:space="0" w:color="auto"/>
        <w:right w:val="none" w:sz="0" w:space="0" w:color="auto"/>
      </w:divBdr>
    </w:div>
    <w:div w:id="1808357703">
      <w:bodyDiv w:val="1"/>
      <w:marLeft w:val="0"/>
      <w:marRight w:val="0"/>
      <w:marTop w:val="0"/>
      <w:marBottom w:val="0"/>
      <w:divBdr>
        <w:top w:val="none" w:sz="0" w:space="0" w:color="auto"/>
        <w:left w:val="none" w:sz="0" w:space="0" w:color="auto"/>
        <w:bottom w:val="none" w:sz="0" w:space="0" w:color="auto"/>
        <w:right w:val="none" w:sz="0" w:space="0" w:color="auto"/>
      </w:divBdr>
    </w:div>
    <w:div w:id="1994210924">
      <w:bodyDiv w:val="1"/>
      <w:marLeft w:val="0"/>
      <w:marRight w:val="0"/>
      <w:marTop w:val="0"/>
      <w:marBottom w:val="0"/>
      <w:divBdr>
        <w:top w:val="none" w:sz="0" w:space="0" w:color="auto"/>
        <w:left w:val="none" w:sz="0" w:space="0" w:color="auto"/>
        <w:bottom w:val="none" w:sz="0" w:space="0" w:color="auto"/>
        <w:right w:val="none" w:sz="0" w:space="0" w:color="auto"/>
      </w:divBdr>
    </w:div>
    <w:div w:id="2059815656">
      <w:bodyDiv w:val="1"/>
      <w:marLeft w:val="0"/>
      <w:marRight w:val="0"/>
      <w:marTop w:val="0"/>
      <w:marBottom w:val="0"/>
      <w:divBdr>
        <w:top w:val="none" w:sz="0" w:space="0" w:color="auto"/>
        <w:left w:val="none" w:sz="0" w:space="0" w:color="auto"/>
        <w:bottom w:val="none" w:sz="0" w:space="0" w:color="auto"/>
        <w:right w:val="none" w:sz="0" w:space="0" w:color="auto"/>
      </w:divBdr>
    </w:div>
    <w:div w:id="20830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ploregwinnett.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winnettcreativityfund.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xploregwinnett.org/" TargetMode="External"/><Relationship Id="rId11" Type="http://schemas.openxmlformats.org/officeDocument/2006/relationships/hyperlink" Target="mailto:ExploreGwinnettPR@HemsworthCommunications.com" TargetMode="External"/><Relationship Id="rId5" Type="http://schemas.openxmlformats.org/officeDocument/2006/relationships/image" Target="media/image1.jpeg"/><Relationship Id="rId10" Type="http://schemas.openxmlformats.org/officeDocument/2006/relationships/hyperlink" Target="https://www.facebook.com/exploregwinnett" TargetMode="External"/><Relationship Id="rId4" Type="http://schemas.openxmlformats.org/officeDocument/2006/relationships/webSettings" Target="webSettings.xml"/><Relationship Id="rId9" Type="http://schemas.openxmlformats.org/officeDocument/2006/relationships/hyperlink" Target="https://www.instagram.com/exploregwinne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Trice</dc:creator>
  <cp:keywords/>
  <dc:description/>
  <cp:lastModifiedBy>Cameron Trice</cp:lastModifiedBy>
  <cp:revision>2</cp:revision>
  <cp:lastPrinted>2025-07-24T19:44:00Z</cp:lastPrinted>
  <dcterms:created xsi:type="dcterms:W3CDTF">2025-07-24T19:47:00Z</dcterms:created>
  <dcterms:modified xsi:type="dcterms:W3CDTF">2025-07-24T19:47:00Z</dcterms:modified>
</cp:coreProperties>
</file>